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F7E" w:rsidRDefault="007D2F7E" w:rsidP="0050523F">
      <w:pPr>
        <w:jc w:val="center"/>
        <w:rPr>
          <w:rFonts w:ascii="Bliss" w:hAnsi="Bliss" w:cs="Bliss"/>
          <w:b/>
          <w:bCs/>
          <w:sz w:val="24"/>
          <w:szCs w:val="24"/>
        </w:rPr>
      </w:pPr>
      <w:r w:rsidRPr="0050523F">
        <w:rPr>
          <w:rFonts w:ascii="Bliss" w:hAnsi="Bliss" w:cs="Bliss"/>
          <w:b/>
          <w:bCs/>
          <w:sz w:val="24"/>
          <w:szCs w:val="24"/>
        </w:rPr>
        <w:t>Formative and Summative Assessment: Powerful Tools for Effective Teaching</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98"/>
        <w:gridCol w:w="4878"/>
      </w:tblGrid>
      <w:tr w:rsidR="007D2F7E" w:rsidRPr="00F26FA5">
        <w:tc>
          <w:tcPr>
            <w:tcW w:w="4698" w:type="dxa"/>
          </w:tcPr>
          <w:p w:rsidR="007D2F7E" w:rsidRPr="00F26FA5" w:rsidRDefault="007D2F7E" w:rsidP="00F26FA5">
            <w:pPr>
              <w:spacing w:after="0" w:line="240" w:lineRule="auto"/>
              <w:rPr>
                <w:rFonts w:ascii="Bliss" w:hAnsi="Bliss" w:cs="Bliss"/>
                <w:b/>
                <w:bCs/>
                <w:sz w:val="24"/>
                <w:szCs w:val="24"/>
              </w:rPr>
            </w:pPr>
            <w:r w:rsidRPr="00F26FA5">
              <w:rPr>
                <w:rFonts w:ascii="Bliss" w:hAnsi="Bliss" w:cs="Bliss"/>
                <w:b/>
                <w:bCs/>
                <w:sz w:val="24"/>
                <w:szCs w:val="24"/>
              </w:rPr>
              <w:t>Summative  Assessment</w:t>
            </w:r>
          </w:p>
        </w:tc>
        <w:tc>
          <w:tcPr>
            <w:tcW w:w="4878" w:type="dxa"/>
          </w:tcPr>
          <w:p w:rsidR="007D2F7E" w:rsidRPr="00F26FA5" w:rsidRDefault="007D2F7E" w:rsidP="00F26FA5">
            <w:pPr>
              <w:spacing w:after="0" w:line="240" w:lineRule="auto"/>
              <w:rPr>
                <w:rFonts w:ascii="Bliss" w:hAnsi="Bliss" w:cs="Bliss"/>
                <w:b/>
                <w:bCs/>
                <w:sz w:val="24"/>
                <w:szCs w:val="24"/>
              </w:rPr>
            </w:pPr>
            <w:r w:rsidRPr="00F26FA5">
              <w:rPr>
                <w:rFonts w:ascii="Bliss" w:hAnsi="Bliss" w:cs="Bliss"/>
                <w:b/>
                <w:bCs/>
                <w:sz w:val="24"/>
                <w:szCs w:val="24"/>
              </w:rPr>
              <w:t>Formative  Assessment</w:t>
            </w:r>
          </w:p>
        </w:tc>
      </w:tr>
      <w:tr w:rsidR="007D2F7E" w:rsidRPr="00F26FA5">
        <w:tc>
          <w:tcPr>
            <w:tcW w:w="4698" w:type="dxa"/>
          </w:tcPr>
          <w:p w:rsidR="007D2F7E" w:rsidRPr="00F26FA5" w:rsidRDefault="007D2F7E" w:rsidP="00F26FA5">
            <w:pPr>
              <w:spacing w:after="0" w:line="240" w:lineRule="auto"/>
              <w:rPr>
                <w:rFonts w:ascii="Bliss" w:hAnsi="Bliss" w:cs="Bliss"/>
                <w:sz w:val="24"/>
                <w:szCs w:val="24"/>
              </w:rPr>
            </w:pPr>
            <w:r w:rsidRPr="00F26FA5">
              <w:rPr>
                <w:rFonts w:ascii="Bliss" w:hAnsi="Bliss" w:cs="Bliss"/>
                <w:b/>
                <w:bCs/>
                <w:sz w:val="24"/>
                <w:szCs w:val="24"/>
              </w:rPr>
              <w:t xml:space="preserve">Definition:  </w:t>
            </w:r>
            <w:r w:rsidRPr="00F26FA5">
              <w:rPr>
                <w:rFonts w:ascii="Bliss" w:hAnsi="Bliss" w:cs="Bliss"/>
                <w:sz w:val="24"/>
                <w:szCs w:val="24"/>
              </w:rPr>
              <w:t>Given periodically to determine at a particular point in time what students know and do not know.</w:t>
            </w:r>
          </w:p>
          <w:p w:rsidR="007D2F7E" w:rsidRPr="00F26FA5" w:rsidRDefault="007D2F7E" w:rsidP="00F26FA5">
            <w:pPr>
              <w:spacing w:after="0" w:line="240" w:lineRule="auto"/>
              <w:rPr>
                <w:rFonts w:ascii="Bliss" w:hAnsi="Bliss" w:cs="Bliss"/>
                <w:sz w:val="24"/>
                <w:szCs w:val="24"/>
              </w:rPr>
            </w:pPr>
          </w:p>
          <w:p w:rsidR="007D2F7E" w:rsidRPr="00F26FA5" w:rsidRDefault="007D2F7E" w:rsidP="00F26FA5">
            <w:pPr>
              <w:spacing w:after="0" w:line="240" w:lineRule="auto"/>
              <w:rPr>
                <w:rFonts w:ascii="Bliss" w:hAnsi="Bliss" w:cs="Bliss"/>
                <w:b/>
                <w:bCs/>
                <w:sz w:val="24"/>
                <w:szCs w:val="24"/>
              </w:rPr>
            </w:pPr>
            <w:r w:rsidRPr="00F26FA5">
              <w:rPr>
                <w:rFonts w:ascii="Bliss" w:hAnsi="Bliss" w:cs="Bliss"/>
                <w:b/>
                <w:bCs/>
                <w:sz w:val="24"/>
                <w:szCs w:val="24"/>
              </w:rPr>
              <w:t xml:space="preserve">Examples: </w:t>
            </w:r>
          </w:p>
          <w:p w:rsidR="007D2F7E" w:rsidRPr="00F26FA5" w:rsidRDefault="007D2F7E" w:rsidP="00F26FA5">
            <w:pPr>
              <w:pStyle w:val="ListParagraph"/>
              <w:numPr>
                <w:ilvl w:val="0"/>
                <w:numId w:val="1"/>
              </w:numPr>
              <w:spacing w:after="0" w:line="240" w:lineRule="auto"/>
              <w:rPr>
                <w:rFonts w:ascii="Bliss" w:hAnsi="Bliss" w:cs="Bliss"/>
                <w:sz w:val="24"/>
                <w:szCs w:val="24"/>
              </w:rPr>
            </w:pPr>
            <w:r w:rsidRPr="00F26FA5">
              <w:rPr>
                <w:rFonts w:ascii="Bliss" w:hAnsi="Bliss" w:cs="Bliss"/>
                <w:sz w:val="24"/>
                <w:szCs w:val="24"/>
              </w:rPr>
              <w:t>State Assessments</w:t>
            </w:r>
          </w:p>
          <w:p w:rsidR="007D2F7E" w:rsidRPr="00F26FA5" w:rsidRDefault="007D2F7E" w:rsidP="00F26FA5">
            <w:pPr>
              <w:pStyle w:val="ListParagraph"/>
              <w:numPr>
                <w:ilvl w:val="0"/>
                <w:numId w:val="1"/>
              </w:numPr>
              <w:spacing w:after="0" w:line="240" w:lineRule="auto"/>
              <w:rPr>
                <w:rFonts w:ascii="Bliss" w:hAnsi="Bliss" w:cs="Bliss"/>
                <w:sz w:val="24"/>
                <w:szCs w:val="24"/>
              </w:rPr>
            </w:pPr>
            <w:r w:rsidRPr="00F26FA5">
              <w:rPr>
                <w:rFonts w:ascii="Bliss" w:hAnsi="Bliss" w:cs="Bliss"/>
                <w:sz w:val="24"/>
                <w:szCs w:val="24"/>
              </w:rPr>
              <w:t>District Benchmark or Interim Assessments</w:t>
            </w:r>
          </w:p>
          <w:p w:rsidR="007D2F7E" w:rsidRPr="00F26FA5" w:rsidRDefault="007D2F7E" w:rsidP="00F26FA5">
            <w:pPr>
              <w:pStyle w:val="ListParagraph"/>
              <w:numPr>
                <w:ilvl w:val="0"/>
                <w:numId w:val="1"/>
              </w:numPr>
              <w:spacing w:after="0" w:line="240" w:lineRule="auto"/>
              <w:rPr>
                <w:rFonts w:ascii="Bliss" w:hAnsi="Bliss" w:cs="Bliss"/>
                <w:sz w:val="24"/>
                <w:szCs w:val="24"/>
              </w:rPr>
            </w:pPr>
            <w:r w:rsidRPr="00F26FA5">
              <w:rPr>
                <w:rFonts w:ascii="Bliss" w:hAnsi="Bliss" w:cs="Bliss"/>
                <w:sz w:val="24"/>
                <w:szCs w:val="24"/>
              </w:rPr>
              <w:t>End of Unit or Chapter Tests</w:t>
            </w:r>
          </w:p>
          <w:p w:rsidR="007D2F7E" w:rsidRPr="00F26FA5" w:rsidRDefault="007D2F7E" w:rsidP="00F26FA5">
            <w:pPr>
              <w:pStyle w:val="ListParagraph"/>
              <w:numPr>
                <w:ilvl w:val="0"/>
                <w:numId w:val="1"/>
              </w:numPr>
              <w:spacing w:after="0" w:line="240" w:lineRule="auto"/>
              <w:rPr>
                <w:rFonts w:ascii="Bliss" w:hAnsi="Bliss" w:cs="Bliss"/>
                <w:sz w:val="24"/>
                <w:szCs w:val="24"/>
              </w:rPr>
            </w:pPr>
            <w:r w:rsidRPr="00F26FA5">
              <w:rPr>
                <w:rFonts w:ascii="Bliss" w:hAnsi="Bliss" w:cs="Bliss"/>
                <w:sz w:val="24"/>
                <w:szCs w:val="24"/>
              </w:rPr>
              <w:t>End of Term or Semester Exams</w:t>
            </w:r>
          </w:p>
          <w:p w:rsidR="007D2F7E" w:rsidRPr="00F26FA5" w:rsidRDefault="007D2F7E" w:rsidP="00F26FA5">
            <w:pPr>
              <w:pStyle w:val="ListParagraph"/>
              <w:numPr>
                <w:ilvl w:val="0"/>
                <w:numId w:val="1"/>
              </w:numPr>
              <w:spacing w:after="0" w:line="240" w:lineRule="auto"/>
              <w:rPr>
                <w:rFonts w:ascii="Bliss" w:hAnsi="Bliss" w:cs="Bliss"/>
                <w:b/>
                <w:bCs/>
                <w:sz w:val="24"/>
                <w:szCs w:val="24"/>
              </w:rPr>
            </w:pPr>
            <w:r w:rsidRPr="00F26FA5">
              <w:rPr>
                <w:rFonts w:ascii="Bliss" w:hAnsi="Bliss" w:cs="Bliss"/>
                <w:sz w:val="24"/>
                <w:szCs w:val="24"/>
              </w:rPr>
              <w:t>Scores that are used for accountability of schools (AYP) and students (report card grades)</w:t>
            </w:r>
          </w:p>
        </w:tc>
        <w:tc>
          <w:tcPr>
            <w:tcW w:w="4878" w:type="dxa"/>
          </w:tcPr>
          <w:p w:rsidR="007D2F7E" w:rsidRPr="00F26FA5" w:rsidRDefault="007D2F7E" w:rsidP="00F26FA5">
            <w:pPr>
              <w:spacing w:after="0" w:line="240" w:lineRule="auto"/>
              <w:rPr>
                <w:rFonts w:ascii="Bliss" w:hAnsi="Bliss" w:cs="Bliss"/>
                <w:sz w:val="24"/>
                <w:szCs w:val="24"/>
              </w:rPr>
            </w:pPr>
            <w:r w:rsidRPr="00F26FA5">
              <w:rPr>
                <w:rFonts w:ascii="Bliss" w:hAnsi="Bliss" w:cs="Bliss"/>
                <w:b/>
                <w:bCs/>
                <w:sz w:val="24"/>
                <w:szCs w:val="24"/>
              </w:rPr>
              <w:t>Definitions</w:t>
            </w:r>
            <w:r w:rsidRPr="00F26FA5">
              <w:rPr>
                <w:rFonts w:ascii="Bliss" w:hAnsi="Bliss" w:cs="Bliss"/>
                <w:sz w:val="24"/>
                <w:szCs w:val="24"/>
              </w:rPr>
              <w:t>:   A systematic process to continuously gather evidence about learning. They are given throughout the instructional process to inform both teachers and students about students understanding at point when timely adjustment can be made.</w:t>
            </w:r>
          </w:p>
          <w:p w:rsidR="007D2F7E" w:rsidRPr="00F26FA5" w:rsidRDefault="007D2F7E" w:rsidP="00F26FA5">
            <w:pPr>
              <w:spacing w:after="0" w:line="240" w:lineRule="auto"/>
              <w:rPr>
                <w:rFonts w:ascii="Bliss" w:hAnsi="Bliss" w:cs="Bliss"/>
                <w:sz w:val="24"/>
                <w:szCs w:val="24"/>
              </w:rPr>
            </w:pPr>
          </w:p>
          <w:p w:rsidR="007D2F7E" w:rsidRPr="00F26FA5" w:rsidRDefault="007D2F7E" w:rsidP="00F26FA5">
            <w:pPr>
              <w:spacing w:after="0" w:line="240" w:lineRule="auto"/>
              <w:rPr>
                <w:rFonts w:ascii="Bliss" w:hAnsi="Bliss" w:cs="Bliss"/>
                <w:sz w:val="24"/>
                <w:szCs w:val="24"/>
              </w:rPr>
            </w:pPr>
            <w:r w:rsidRPr="00F26FA5">
              <w:rPr>
                <w:rFonts w:ascii="Bliss" w:hAnsi="Bliss" w:cs="Bliss"/>
                <w:sz w:val="24"/>
                <w:szCs w:val="24"/>
              </w:rPr>
              <w:t>Examples:</w:t>
            </w:r>
          </w:p>
          <w:p w:rsidR="007D2F7E" w:rsidRPr="00F26FA5" w:rsidRDefault="007D2F7E" w:rsidP="00F26FA5">
            <w:pPr>
              <w:pStyle w:val="ListParagraph"/>
              <w:numPr>
                <w:ilvl w:val="0"/>
                <w:numId w:val="2"/>
              </w:numPr>
              <w:spacing w:after="0" w:line="240" w:lineRule="auto"/>
              <w:rPr>
                <w:rFonts w:ascii="Bliss" w:hAnsi="Bliss" w:cs="Bliss"/>
                <w:sz w:val="24"/>
                <w:szCs w:val="24"/>
              </w:rPr>
            </w:pPr>
            <w:r w:rsidRPr="00F26FA5">
              <w:rPr>
                <w:rFonts w:ascii="Bliss" w:hAnsi="Bliss" w:cs="Bliss"/>
                <w:sz w:val="24"/>
                <w:szCs w:val="24"/>
              </w:rPr>
              <w:t>On the fly: A teacher listening to a group discussion hears students expressing misconceptions about a concept she has been teaching.  She changes the direction of her lesson to provide a quick “pop up” lesson to clear up the misconception be for proceeding with the planned lesson sequence</w:t>
            </w:r>
          </w:p>
          <w:p w:rsidR="007D2F7E" w:rsidRPr="00F26FA5" w:rsidRDefault="007D2F7E" w:rsidP="00F26FA5">
            <w:pPr>
              <w:pStyle w:val="ListParagraph"/>
              <w:numPr>
                <w:ilvl w:val="0"/>
                <w:numId w:val="2"/>
              </w:numPr>
              <w:spacing w:after="0" w:line="240" w:lineRule="auto"/>
              <w:rPr>
                <w:rFonts w:ascii="Bliss" w:hAnsi="Bliss" w:cs="Bliss"/>
                <w:sz w:val="24"/>
                <w:szCs w:val="24"/>
              </w:rPr>
            </w:pPr>
            <w:r w:rsidRPr="00F26FA5">
              <w:rPr>
                <w:rFonts w:ascii="Bliss" w:hAnsi="Bliss" w:cs="Bliss"/>
                <w:sz w:val="24"/>
                <w:szCs w:val="24"/>
              </w:rPr>
              <w:t>Planned for Interaction: Teachers plan the questions they will ask during the course of the lesson in order to enable students to explore ideas.  The responses can elicit valuable assessment information.</w:t>
            </w:r>
          </w:p>
          <w:p w:rsidR="007D2F7E" w:rsidRPr="00F26FA5" w:rsidRDefault="007D2F7E" w:rsidP="00F26FA5">
            <w:pPr>
              <w:pStyle w:val="ListParagraph"/>
              <w:numPr>
                <w:ilvl w:val="0"/>
                <w:numId w:val="2"/>
              </w:numPr>
              <w:spacing w:after="0" w:line="240" w:lineRule="auto"/>
              <w:rPr>
                <w:rFonts w:ascii="Bliss" w:hAnsi="Bliss" w:cs="Bliss"/>
                <w:sz w:val="24"/>
                <w:szCs w:val="24"/>
              </w:rPr>
            </w:pPr>
            <w:r w:rsidRPr="00F26FA5">
              <w:rPr>
                <w:rFonts w:ascii="Bliss" w:hAnsi="Bliss" w:cs="Bliss"/>
                <w:sz w:val="24"/>
                <w:szCs w:val="24"/>
              </w:rPr>
              <w:t>Curriculum-Embedded Assessments:  Exit passes, anecdotal notes, performance of assignments~anything that is part of regular classroom activity</w:t>
            </w:r>
          </w:p>
          <w:p w:rsidR="007D2F7E" w:rsidRPr="00F26FA5" w:rsidRDefault="007D2F7E" w:rsidP="00F26FA5">
            <w:pPr>
              <w:pStyle w:val="ListParagraph"/>
              <w:spacing w:after="0" w:line="240" w:lineRule="auto"/>
              <w:rPr>
                <w:rFonts w:ascii="Bliss" w:hAnsi="Bliss" w:cs="Bliss"/>
                <w:sz w:val="24"/>
                <w:szCs w:val="24"/>
              </w:rPr>
            </w:pPr>
          </w:p>
        </w:tc>
      </w:tr>
    </w:tbl>
    <w:p w:rsidR="007D2F7E" w:rsidRDefault="007D2F7E" w:rsidP="00033112">
      <w:pPr>
        <w:rPr>
          <w:rFonts w:ascii="Bliss" w:hAnsi="Bliss" w:cs="Bliss"/>
          <w:b/>
          <w:bCs/>
          <w:sz w:val="24"/>
          <w:szCs w:val="24"/>
        </w:rPr>
      </w:pPr>
    </w:p>
    <w:p w:rsidR="007D2F7E" w:rsidRPr="005F1689" w:rsidRDefault="007D2F7E" w:rsidP="00033112">
      <w:pPr>
        <w:rPr>
          <w:rFonts w:ascii="Bliss" w:hAnsi="Bliss" w:cs="Bliss"/>
          <w:b/>
          <w:bCs/>
          <w:sz w:val="24"/>
          <w:szCs w:val="24"/>
        </w:rPr>
      </w:pPr>
    </w:p>
    <w:p w:rsidR="007D2F7E" w:rsidRPr="005F1689" w:rsidRDefault="007D2F7E" w:rsidP="005F1689">
      <w:pPr>
        <w:pStyle w:val="Default"/>
        <w:rPr>
          <w:rFonts w:ascii="Bliss" w:hAnsi="Bliss" w:cs="Bliss"/>
        </w:rPr>
      </w:pPr>
      <w:r>
        <w:rPr>
          <w:rFonts w:ascii="Bliss" w:hAnsi="Bliss" w:cs="Bliss"/>
          <w:b/>
          <w:bCs/>
        </w:rPr>
        <w:t xml:space="preserve"> </w:t>
      </w:r>
      <w:r w:rsidRPr="005F1689">
        <w:rPr>
          <w:rFonts w:ascii="Bliss" w:hAnsi="Bliss" w:cs="Bliss"/>
          <w:b/>
          <w:bCs/>
        </w:rPr>
        <w:t>*</w:t>
      </w:r>
      <w:r w:rsidRPr="005F1689">
        <w:rPr>
          <w:rFonts w:ascii="Bliss" w:hAnsi="Bliss" w:cs="Bliss"/>
        </w:rPr>
        <w:t xml:space="preserve"> One</w:t>
      </w:r>
      <w:r w:rsidRPr="005F1689">
        <w:rPr>
          <w:rStyle w:val="A0"/>
          <w:rFonts w:ascii="Bliss" w:hAnsi="Bliss" w:cs="Bliss"/>
          <w:sz w:val="24"/>
          <w:szCs w:val="24"/>
        </w:rPr>
        <w:t xml:space="preserve"> distinction is to think of formative assessment as “practice.” We do not hold students accountable in “grade book fashion” for skills and concepts they have just been introduced to or are learning. We must allow for practice. Formative assessment helps teachers determine next steps during the learning process as the instruction approaches the summative assessment of student learning.</w:t>
      </w:r>
    </w:p>
    <w:sectPr w:rsidR="007D2F7E" w:rsidRPr="005F1689" w:rsidSect="00AE18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dobe Caslon Pro">
    <w:altName w:val="Adobe Caslon Pro"/>
    <w:panose1 w:val="00000000000000000000"/>
    <w:charset w:val="00"/>
    <w:family w:val="roman"/>
    <w:notTrueType/>
    <w:pitch w:val="default"/>
    <w:sig w:usb0="00000003" w:usb1="00000000" w:usb2="00000000" w:usb3="00000000" w:csb0="00000001" w:csb1="00000000"/>
  </w:font>
  <w:font w:name="Bliss">
    <w:altName w:val="Agency FB"/>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B1F42"/>
    <w:multiLevelType w:val="hybridMultilevel"/>
    <w:tmpl w:val="A46AFC1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55486998"/>
    <w:multiLevelType w:val="hybridMultilevel"/>
    <w:tmpl w:val="8BB6352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523F"/>
    <w:rsid w:val="00033112"/>
    <w:rsid w:val="0015297E"/>
    <w:rsid w:val="003F5852"/>
    <w:rsid w:val="0048779E"/>
    <w:rsid w:val="0050523F"/>
    <w:rsid w:val="005F1689"/>
    <w:rsid w:val="007D2F7E"/>
    <w:rsid w:val="00951523"/>
    <w:rsid w:val="00A84F50"/>
    <w:rsid w:val="00AE1894"/>
    <w:rsid w:val="00CC2EF3"/>
    <w:rsid w:val="00CE3268"/>
    <w:rsid w:val="00E87A33"/>
    <w:rsid w:val="00F26FA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894"/>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33112"/>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33112"/>
    <w:pPr>
      <w:ind w:left="720"/>
    </w:pPr>
  </w:style>
  <w:style w:type="paragraph" w:customStyle="1" w:styleId="Default">
    <w:name w:val="Default"/>
    <w:uiPriority w:val="99"/>
    <w:rsid w:val="005F1689"/>
    <w:pPr>
      <w:autoSpaceDE w:val="0"/>
      <w:autoSpaceDN w:val="0"/>
      <w:adjustRightInd w:val="0"/>
    </w:pPr>
    <w:rPr>
      <w:rFonts w:ascii="Adobe Caslon Pro" w:hAnsi="Adobe Caslon Pro" w:cs="Adobe Caslon Pro"/>
      <w:color w:val="000000"/>
      <w:sz w:val="24"/>
      <w:szCs w:val="24"/>
    </w:rPr>
  </w:style>
  <w:style w:type="character" w:customStyle="1" w:styleId="A0">
    <w:name w:val="A0"/>
    <w:uiPriority w:val="99"/>
    <w:rsid w:val="005F1689"/>
    <w:rPr>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260</Words>
  <Characters>1486</Characters>
  <Application>Microsoft Office Outlook</Application>
  <DocSecurity>0</DocSecurity>
  <Lines>0</Lines>
  <Paragraphs>0</Paragraphs>
  <ScaleCrop>false</ScaleCrop>
  <Company>CCPS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Formative and Summative Assessment: Powerful Tools for Effective Teaching</dc:title>
  <dc:subject/>
  <dc:creator>Robyn Marsden</dc:creator>
  <cp:keywords/>
  <dc:description/>
  <cp:lastModifiedBy>ccps</cp:lastModifiedBy>
  <cp:revision>2</cp:revision>
  <cp:lastPrinted>2009-12-08T21:34:00Z</cp:lastPrinted>
  <dcterms:created xsi:type="dcterms:W3CDTF">2010-10-13T17:56:00Z</dcterms:created>
  <dcterms:modified xsi:type="dcterms:W3CDTF">2010-10-13T17:56:00Z</dcterms:modified>
</cp:coreProperties>
</file>